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Tributos: espécies e competência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 (FGV - Adaptada)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Uma empresa do setor industrial foi notificada para pagamento de um tributo cobrado em razão da coleta de lixo realizada pelo município. Esse tributo é classificado como: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Imposto, pois independe de atividade estatal específica</w:t>
        <w:br w:type="textWrapping"/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B) Taxa, pois decorre da prestação de serviço público específico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  <w:t xml:space="preserve">C) Contribuição de melhoria, pois valoriza o imóvel</w:t>
        <w:br w:type="textWrapping"/>
        <w:t xml:space="preserve">D) Empréstimo compulsório, pois é obrigatório</w:t>
        <w:br w:type="textWrapping"/>
        <w:t xml:space="preserve">E) Contribuição especial, pois financia atividade urbana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 (CESPE - Adaptada)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Após a Reforma Tributária, o IBS (Imposto sobre Bens e Serviços) será de competência: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Exclusiva da União</w:t>
        <w:br w:type="textWrapping"/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B) Compartilhada entre União, Estados e Municípios</w:t>
        <w:br w:type="textWrapping"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C) Exclusiva dos Estados</w:t>
        <w:br w:type="textWrapping"/>
        <w:t xml:space="preserve">D) Exclusiva dos Municípios</w:t>
        <w:br w:type="textWrapping"/>
        <w:t xml:space="preserve">E) Exclusiva do Distrito Federal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3. (FGV - Adaptada)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Uma empresa percebeu valorização imobiliária decorrente da construção de uma nova via pública. O tributo que pode ser cobrado nessa situação é: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Taxa de fiscalização</w:t>
        <w:br w:type="textWrapping"/>
        <w:t xml:space="preserve">B) Imposto predial</w:t>
        <w:br w:type="textWrapping"/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C) Contribuição de melhoria</w:t>
        <w:br w:type="textWrapping"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D) Contribuição social</w:t>
        <w:br w:type="textWrapping"/>
        <w:t xml:space="preserve">E) Imposto seletivo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4. (CESPE - Adaptada)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Imposto Seletivo, criado pela Reforma Tributária, possui como principal finalidade:</w:t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Arrecadação genérica</w:t>
        <w:br w:type="textWrapping"/>
        <w:t xml:space="preserve">B) Redistribuição de renda</w:t>
        <w:br w:type="textWrapping"/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C) Desestimular o consumo de determinados bens e serviços</w:t>
        <w:br w:type="textWrapping"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D) Financiar a seguridade social</w:t>
        <w:br w:type="textWrapping"/>
        <w:t xml:space="preserve">E) Substituir todos os impostos existentes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5. (FGV - Adaptada)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contexto da competência tributária, é correto afirmar que:</w:t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 União pode instituir qualquer tributo sem limites</w:t>
        <w:br w:type="textWrapping"/>
        <w:t xml:space="preserve">B) Estados podem instituir impostos não previstos na Constituição</w:t>
        <w:br w:type="textWrapping"/>
        <w:t xml:space="preserve">C) Municípios possuem competência residual</w:t>
        <w:br w:type="textWrapping"/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D) A competência tributária é indelegável</w:t>
        <w:br w:type="textWrapping"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E) A competência pode ser transferida por contrato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6. (CESPE - Adaptada)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Uma taxa cobrada por um Estado deve obrigatoriamente: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Ter base de cálculo idêntica à de impostos</w:t>
        <w:br w:type="textWrapping"/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B) Estar vinculada a um serviço público específico ou poder de polícia</w:t>
        <w:br w:type="textWrapping"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C) Ser instituída apenas pela União</w:t>
        <w:br w:type="textWrapping"/>
        <w:t xml:space="preserve">D) Ser facultativa ao contribuinte</w:t>
        <w:br w:type="textWrapping"/>
        <w:t xml:space="preserve">E) Financiar políticas sociais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7. (FGV - Adaptada)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Após a Reforma Tributária, o ICMS e o ISS serão substituídos principalmente por: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IR e IPI</w:t>
        <w:br w:type="textWrapping"/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B) IBS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  <w:t xml:space="preserve">C) Cofins</w:t>
        <w:br w:type="textWrapping"/>
        <w:t xml:space="preserve">D) CSLL</w:t>
        <w:br w:type="textWrapping"/>
        <w:t xml:space="preserve">E) ITCMD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8. (CESPE - Adaptada)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Sobre a contribuição de melhoria, assinale a alternativa correta: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Independe de obra pública</w:t>
        <w:br w:type="textWrapping"/>
        <w:t xml:space="preserve">B) Pode ser cobrada sem limite</w:t>
        <w:br w:type="textWrapping"/>
        <w:t xml:space="preserve">C) Está vinculada à valorização imobiliária decorrente de obra pública</w:t>
        <w:br w:type="textWrapping"/>
        <w:t xml:space="preserve">D) É exclusiva da União</w:t>
        <w:br w:type="textWrapping"/>
        <w:t xml:space="preserve">E) Não possui previsão constitucional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9. (FGV - Adaptada)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sistema tributário brasileiro pós-reforma, compete à União instituir: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A) IBS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  <w:t xml:space="preserve">B) IPVA</w:t>
        <w:br w:type="textWrapping"/>
        <w:t xml:space="preserve">C) CBS (Contribuição sobre Bens e Serviços)</w:t>
        <w:br w:type="textWrapping"/>
        <w:t xml:space="preserve">D) ISS</w:t>
        <w:br w:type="textWrapping"/>
        <w:t xml:space="preserve">E) ITBI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10. (CESPE - Adaptada)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Distrito Federal possui competência tributária: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Apenas municipal</w:t>
        <w:br w:type="textWrapping"/>
        <w:t xml:space="preserve">B) Apenas estadual</w:t>
        <w:br w:type="textWrapping"/>
      </w:r>
      <w:r w:rsidDel="00000000" w:rsidR="00000000" w:rsidRPr="00000000">
        <w:rPr>
          <w:rFonts w:ascii="Arial" w:cs="Arial" w:eastAsia="Arial" w:hAnsi="Arial"/>
          <w:color w:val="ff0000"/>
          <w:sz w:val="24"/>
          <w:szCs w:val="24"/>
          <w:rtl w:val="0"/>
        </w:rPr>
        <w:t xml:space="preserve">C) Apenas federal</w:t>
        <w:br w:type="textWrapping"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D) Estadual e municipal</w:t>
        <w:br w:type="textWrapping"/>
        <w:t xml:space="preserve">E) Federal e estadual apenas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Arial" w:cs="Arial" w:eastAsia="Arial" w:hAnsi="Arial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>
          <w:rFonts w:ascii="Arial" w:cs="Arial" w:eastAsia="Arial" w:hAnsi="Arial"/>
          <w:b w:val="1"/>
          <w:bCs w:val="1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40"/>
          <w:szCs w:val="40"/>
          <w:rtl w:val="0"/>
        </w:rPr>
        <w:t xml:space="preserve">Questões Discursivas</w:t>
      </w:r>
    </w:p>
    <w:p w:rsidR="00000000" w:rsidDel="00000000" w:rsidP="00000000" w:rsidRDefault="00000000" w:rsidRPr="00000000" w14:paraId="00000042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</w:t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Uma empresa multinacional instalada no Brasil questiona a cobrança de taxa municipal de fiscalização ambiental. Analise a constitucionalidade da cobrança à luz do conceito de taxa e sua vinculação à atuação estatal.</w:t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</w:t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Explique as diferenças estruturais entre imposto, taxa e contribuição de melhoria, destacando exemplos práticos no contexto empresarial.</w:t>
      </w:r>
    </w:p>
    <w:p w:rsidR="00000000" w:rsidDel="00000000" w:rsidP="00000000" w:rsidRDefault="00000000" w:rsidRPr="00000000" w14:paraId="0000004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3.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Uma construtora teve seus imóveis valorizados após obra pública municipal. Discuta os limites legais para cobrança da contribuição de melhoria e seus requisitos constitucionais.</w:t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4.</w:t>
      </w:r>
    </w:p>
    <w:p w:rsidR="00000000" w:rsidDel="00000000" w:rsidP="00000000" w:rsidRDefault="00000000" w:rsidRPr="00000000" w14:paraId="0000004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Analise a nova sistemática de competência tributária após a EC 132/2023, com foco na criação do IBS e da CBS, e seus impactos para empresas.</w:t>
      </w:r>
    </w:p>
    <w:p w:rsidR="00000000" w:rsidDel="00000000" w:rsidP="00000000" w:rsidRDefault="00000000" w:rsidRPr="00000000" w14:paraId="0000004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5.</w:t>
      </w:r>
    </w:p>
    <w:p w:rsidR="00000000" w:rsidDel="00000000" w:rsidP="00000000" w:rsidRDefault="00000000" w:rsidRPr="00000000" w14:paraId="0000004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Discuta a natureza jurídica do Imposto Seletivo e sua função extrafiscal, especialmente no contexto de empresas que produzem bens prejudiciais à saúde ou ao meio ambiente.</w:t>
      </w:r>
    </w:p>
    <w:p w:rsidR="00000000" w:rsidDel="00000000" w:rsidP="00000000" w:rsidRDefault="00000000" w:rsidRPr="00000000" w14:paraId="0000005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6.</w:t>
      </w:r>
    </w:p>
    <w:p w:rsidR="00000000" w:rsidDel="00000000" w:rsidP="00000000" w:rsidRDefault="00000000" w:rsidRPr="00000000" w14:paraId="0000005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Explique o princípio da indelegabilidade da competência tributária e suas implicações práticas para a administração pública e empresas contribuintes.</w:t>
      </w:r>
    </w:p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7.</w:t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Uma empresa foi cobrada simultaneamente por taxa e imposto com base no mesmo fato gerador. Analise a legalidade da situação.</w:t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8.</w:t>
      </w:r>
    </w:p>
    <w:p w:rsidR="00000000" w:rsidDel="00000000" w:rsidP="00000000" w:rsidRDefault="00000000" w:rsidRPr="00000000" w14:paraId="0000005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Compare a competência tributária dos Estados e Municípios antes e após a Reforma Tributária, destacando as principais mudanças estruturais.</w:t>
      </w:r>
    </w:p>
    <w:p w:rsidR="00000000" w:rsidDel="00000000" w:rsidP="00000000" w:rsidRDefault="00000000" w:rsidRPr="00000000" w14:paraId="0000005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9.</w:t>
      </w:r>
    </w:p>
    <w:p w:rsidR="00000000" w:rsidDel="00000000" w:rsidP="00000000" w:rsidRDefault="00000000" w:rsidRPr="00000000" w14:paraId="0000005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Avalie o papel do Distrito Federal no sistema tributário nacional, considerando sua competência híbrida e os impactos para empresas nele estabelecidas.</w:t>
      </w:r>
    </w:p>
    <w:p w:rsidR="00000000" w:rsidDel="00000000" w:rsidP="00000000" w:rsidRDefault="00000000" w:rsidRPr="00000000" w14:paraId="0000005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10.</w:t>
      </w:r>
    </w:p>
    <w:p w:rsidR="00000000" w:rsidDel="00000000" w:rsidP="00000000" w:rsidRDefault="00000000" w:rsidRPr="00000000" w14:paraId="0000005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Analise os desafios de transição do sistema tributário antigo (ICMS/ISS) para o novo modelo (IBS/CBS) sob a ótica de compliance tributário empresarial.</w:t>
      </w:r>
    </w:p>
    <w:p w:rsidR="00000000" w:rsidDel="00000000" w:rsidP="00000000" w:rsidRDefault="00000000" w:rsidRPr="00000000" w14:paraId="0000005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Arial" w:cs="Arial" w:eastAsia="Arial" w:hAnsi="Aria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center"/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Estudo de Caso Prático – Sistema Tributário Pós-Reforma</w:t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Contexto Empresarial</w:t>
      </w:r>
    </w:p>
    <w:p w:rsidR="00000000" w:rsidDel="00000000" w:rsidP="00000000" w:rsidRDefault="00000000" w:rsidRPr="00000000" w14:paraId="0000007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empresa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Alpha Indústria e Comércio Ltda.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situada em Minas Gerais, atua na fabricação e comercialização de bebidas não alcoólicas e energéticas.</w:t>
      </w:r>
    </w:p>
    <w:p w:rsidR="00000000" w:rsidDel="00000000" w:rsidP="00000000" w:rsidRDefault="00000000" w:rsidRPr="00000000" w14:paraId="00000078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Em 2027 (período de transição da Reforma Tributária), a empresa realizou as seguintes operações mensais: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Receita bruta de vendas: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R$ 1.000.000,00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Aquisição de insumos tributados: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R$ 400.000,00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Serviços de fiscalização sanitária municipal: cobrança de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R$ 15.000,00 (taxa)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Obra pública municipal valorizou o imóvel da empresa em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R$ 200.000,00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sendo instituída contribuição de melhoria de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R$ 80.000,00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Parte dos produtos (energéticos) está sujeita ao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Imposto Seletivo (IS)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E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Alíquotas hipotéticas para fins didáticos: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IBS: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25%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CBS: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10%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Imposto Seletivo: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15% sobre energéticos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Percentual de energéticos nas vendas: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40%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Questões</w:t>
      </w:r>
    </w:p>
    <w:p w:rsidR="00000000" w:rsidDel="00000000" w:rsidP="00000000" w:rsidRDefault="00000000" w:rsidRPr="00000000" w14:paraId="0000008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 (Cálculo – IBS e CBS)</w:t>
      </w:r>
    </w:p>
    <w:p w:rsidR="00000000" w:rsidDel="00000000" w:rsidP="00000000" w:rsidRDefault="00000000" w:rsidRPr="00000000" w14:paraId="0000008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Calcule o valor devido de IBS e CBS considerando o regime não cumulativo (crédito sobre insumos).</w:t>
      </w:r>
    </w:p>
    <w:p w:rsidR="00000000" w:rsidDel="00000000" w:rsidP="00000000" w:rsidRDefault="00000000" w:rsidRPr="00000000" w14:paraId="0000008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2. (Cálculo – Imposto Seletivo)</w:t>
      </w:r>
    </w:p>
    <w:p w:rsidR="00000000" w:rsidDel="00000000" w:rsidP="00000000" w:rsidRDefault="00000000" w:rsidRPr="00000000" w14:paraId="0000008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Calcule o valor devido de Imposto Seletivo sobre os produtos energéticos.</w:t>
      </w:r>
    </w:p>
    <w:p w:rsidR="00000000" w:rsidDel="00000000" w:rsidP="00000000" w:rsidRDefault="00000000" w:rsidRPr="00000000" w14:paraId="0000008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3. (Análise Jurídica)</w:t>
      </w:r>
    </w:p>
    <w:p w:rsidR="00000000" w:rsidDel="00000000" w:rsidP="00000000" w:rsidRDefault="00000000" w:rsidRPr="00000000" w14:paraId="0000008C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cobrança da taxa de fiscalização sanitária municipal é constitucional? Justifique com base na natureza jurídica das taxas.</w:t>
      </w:r>
    </w:p>
    <w:p w:rsidR="00000000" w:rsidDel="00000000" w:rsidP="00000000" w:rsidRDefault="00000000" w:rsidRPr="00000000" w14:paraId="0000008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4. (Análise Jurídica)</w:t>
      </w:r>
    </w:p>
    <w:p w:rsidR="00000000" w:rsidDel="00000000" w:rsidP="00000000" w:rsidRDefault="00000000" w:rsidRPr="00000000" w14:paraId="00000090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contribuição de melhoria cobrada respeita os limites constitucionais? Explique os critérios legais aplicáveis.</w:t>
      </w:r>
    </w:p>
    <w:p w:rsidR="00000000" w:rsidDel="00000000" w:rsidP="00000000" w:rsidRDefault="00000000" w:rsidRPr="00000000" w14:paraId="00000091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5. (Competência Tributária)</w:t>
      </w:r>
    </w:p>
    <w:p w:rsidR="00000000" w:rsidDel="00000000" w:rsidP="00000000" w:rsidRDefault="00000000" w:rsidRPr="00000000" w14:paraId="00000093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Indique quais entes federativos são competentes para instituir: IBS, CBS, Imposto Seletivo, taxa e contribuição de melhoria.</w:t>
      </w:r>
    </w:p>
    <w:p w:rsidR="00000000" w:rsidDel="00000000" w:rsidP="00000000" w:rsidRDefault="00000000" w:rsidRPr="00000000" w14:paraId="0000009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6. (Análise Crítica)</w:t>
      </w:r>
    </w:p>
    <w:p w:rsidR="00000000" w:rsidDel="00000000" w:rsidP="00000000" w:rsidRDefault="00000000" w:rsidRPr="00000000" w14:paraId="0000009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Explique como a não cumulatividade do IBS e da CBS impacta o planejamento tributário da empresa.</w:t>
      </w:r>
    </w:p>
    <w:p w:rsidR="00000000" w:rsidDel="00000000" w:rsidP="00000000" w:rsidRDefault="00000000" w:rsidRPr="00000000" w14:paraId="0000009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7. (Cálculo Integrado)</w:t>
      </w:r>
    </w:p>
    <w:p w:rsidR="00000000" w:rsidDel="00000000" w:rsidP="00000000" w:rsidRDefault="00000000" w:rsidRPr="00000000" w14:paraId="0000009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Determine a carga tributária total incidente sobre a empresa no mês (somando IBS, CBS e Imposto Seletivo, desconsiderando IRPJ).</w:t>
      </w:r>
    </w:p>
    <w:p w:rsidR="00000000" w:rsidDel="00000000" w:rsidP="00000000" w:rsidRDefault="00000000" w:rsidRPr="00000000" w14:paraId="0000009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Tributos: espécie e competênciasProf. Dr. Silvio Aparecido Crepaldi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Ttulo7">
    <w:name w:val="heading 7"/>
    <w:basedOn w:val="Normal"/>
    <w:next w:val="Normal"/>
    <w:link w:val="Ttulo7Char"/>
    <w:uiPriority w:val="9"/>
    <w:semiHidden w:val="1"/>
    <w:unhideWhenUsed w:val="1"/>
    <w:qFormat w:val="1"/>
    <w:rsid w:val="000D4833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tulo8">
    <w:name w:val="heading 8"/>
    <w:basedOn w:val="Normal"/>
    <w:next w:val="Normal"/>
    <w:link w:val="Ttulo8Char"/>
    <w:uiPriority w:val="9"/>
    <w:semiHidden w:val="1"/>
    <w:unhideWhenUsed w:val="1"/>
    <w:qFormat w:val="1"/>
    <w:rsid w:val="000D4833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tulo9">
    <w:name w:val="heading 9"/>
    <w:basedOn w:val="Normal"/>
    <w:next w:val="Normal"/>
    <w:link w:val="Ttulo9Char"/>
    <w:uiPriority w:val="9"/>
    <w:semiHidden w:val="1"/>
    <w:unhideWhenUsed w:val="1"/>
    <w:qFormat w:val="1"/>
    <w:rsid w:val="000D4833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uiPriority w:val="9"/>
    <w:rsid w:val="000D4833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 w:val="1"/>
    <w:rsid w:val="000D4833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0D4833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 w:val="1"/>
    <w:rsid w:val="000D4833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tulo5Char" w:customStyle="1">
    <w:name w:val="Título 5 Char"/>
    <w:basedOn w:val="Fontepargpadro"/>
    <w:link w:val="Ttulo5"/>
    <w:uiPriority w:val="9"/>
    <w:semiHidden w:val="1"/>
    <w:rsid w:val="000D4833"/>
    <w:rPr>
      <w:rFonts w:cstheme="majorBidi" w:eastAsiaTheme="majorEastAsia"/>
      <w:color w:val="0f4761" w:themeColor="accent1" w:themeShade="0000BF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0D4833"/>
    <w:rPr>
      <w:rFonts w:cstheme="majorBidi" w:eastAsiaTheme="majorEastAsia"/>
      <w:i w:val="1"/>
      <w:iCs w:val="1"/>
      <w:color w:val="595959" w:themeColor="text1" w:themeTint="0000A6"/>
    </w:rPr>
  </w:style>
  <w:style w:type="character" w:styleId="Ttulo7Char" w:customStyle="1">
    <w:name w:val="Título 7 Char"/>
    <w:basedOn w:val="Fontepargpadro"/>
    <w:link w:val="Ttulo7"/>
    <w:uiPriority w:val="9"/>
    <w:semiHidden w:val="1"/>
    <w:rsid w:val="000D4833"/>
    <w:rPr>
      <w:rFonts w:cstheme="majorBidi" w:eastAsiaTheme="majorEastAsia"/>
      <w:color w:val="595959" w:themeColor="text1" w:themeTint="0000A6"/>
    </w:rPr>
  </w:style>
  <w:style w:type="character" w:styleId="Ttulo8Char" w:customStyle="1">
    <w:name w:val="Título 8 Char"/>
    <w:basedOn w:val="Fontepargpadro"/>
    <w:link w:val="Ttulo8"/>
    <w:uiPriority w:val="9"/>
    <w:semiHidden w:val="1"/>
    <w:rsid w:val="000D4833"/>
    <w:rPr>
      <w:rFonts w:cstheme="majorBidi" w:eastAsiaTheme="majorEastAsia"/>
      <w:i w:val="1"/>
      <w:iCs w:val="1"/>
      <w:color w:val="272727" w:themeColor="text1" w:themeTint="0000D8"/>
    </w:rPr>
  </w:style>
  <w:style w:type="character" w:styleId="Ttulo9Char" w:customStyle="1">
    <w:name w:val="Título 9 Char"/>
    <w:basedOn w:val="Fontepargpadro"/>
    <w:link w:val="Ttulo9"/>
    <w:uiPriority w:val="9"/>
    <w:semiHidden w:val="1"/>
    <w:rsid w:val="000D4833"/>
    <w:rPr>
      <w:rFonts w:cstheme="majorBidi" w:eastAsiaTheme="majorEastAsia"/>
      <w:color w:val="272727" w:themeColor="text1" w:themeTint="0000D8"/>
    </w:rPr>
  </w:style>
  <w:style w:type="character" w:styleId="TtuloChar" w:customStyle="1">
    <w:name w:val="Título Char"/>
    <w:basedOn w:val="Fontepargpadro"/>
    <w:link w:val="Ttulo"/>
    <w:uiPriority w:val="10"/>
    <w:rsid w:val="000D4833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tuloChar" w:customStyle="1">
    <w:name w:val="Subtítulo Char"/>
    <w:basedOn w:val="Fontepargpadro"/>
    <w:link w:val="Subttulo"/>
    <w:uiPriority w:val="11"/>
    <w:rsid w:val="000D4833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 w:val="1"/>
    <w:rsid w:val="000D4833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oChar" w:customStyle="1">
    <w:name w:val="Citação Char"/>
    <w:basedOn w:val="Fontepargpadro"/>
    <w:link w:val="Citao"/>
    <w:uiPriority w:val="29"/>
    <w:rsid w:val="000D4833"/>
    <w:rPr>
      <w:i w:val="1"/>
      <w:iCs w:val="1"/>
      <w:color w:val="404040" w:themeColor="text1" w:themeTint="0000BF"/>
    </w:rPr>
  </w:style>
  <w:style w:type="paragraph" w:styleId="PargrafodaLista">
    <w:name w:val="List Paragraph"/>
    <w:basedOn w:val="Normal"/>
    <w:uiPriority w:val="34"/>
    <w:qFormat w:val="1"/>
    <w:rsid w:val="000D4833"/>
    <w:pPr>
      <w:ind w:left="720"/>
      <w:contextualSpacing w:val="1"/>
    </w:pPr>
  </w:style>
  <w:style w:type="character" w:styleId="nfaseIntensa">
    <w:name w:val="Intense Emphasis"/>
    <w:basedOn w:val="Fontepargpadro"/>
    <w:uiPriority w:val="21"/>
    <w:qFormat w:val="1"/>
    <w:rsid w:val="000D4833"/>
    <w:rPr>
      <w:i w:val="1"/>
      <w:iCs w:val="1"/>
      <w:color w:val="0f4761" w:themeColor="accent1" w:themeShade="0000BF"/>
    </w:rPr>
  </w:style>
  <w:style w:type="paragraph" w:styleId="CitaoIntensa">
    <w:name w:val="Intense Quote"/>
    <w:basedOn w:val="Normal"/>
    <w:next w:val="Normal"/>
    <w:link w:val="CitaoIntensaChar"/>
    <w:uiPriority w:val="30"/>
    <w:qFormat w:val="1"/>
    <w:rsid w:val="000D4833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0D4833"/>
    <w:rPr>
      <w:i w:val="1"/>
      <w:iCs w:val="1"/>
      <w:color w:val="0f4761" w:themeColor="accent1" w:themeShade="0000BF"/>
    </w:rPr>
  </w:style>
  <w:style w:type="character" w:styleId="RefernciaIntensa">
    <w:name w:val="Intense Reference"/>
    <w:basedOn w:val="Fontepargpadro"/>
    <w:uiPriority w:val="32"/>
    <w:qFormat w:val="1"/>
    <w:rsid w:val="000D4833"/>
    <w:rPr>
      <w:b w:val="1"/>
      <w:bCs w:val="1"/>
      <w:smallCaps w:val="1"/>
      <w:color w:val="0f4761" w:themeColor="accent1" w:themeShade="0000BF"/>
      <w:spacing w:val="5"/>
    </w:rPr>
  </w:style>
  <w:style w:type="paragraph" w:styleId="Cabealho">
    <w:name w:val="header"/>
    <w:basedOn w:val="Normal"/>
    <w:link w:val="CabealhoChar"/>
    <w:uiPriority w:val="99"/>
    <w:unhideWhenUsed w:val="1"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0D4833"/>
  </w:style>
  <w:style w:type="paragraph" w:styleId="Rodap">
    <w:name w:val="footer"/>
    <w:basedOn w:val="Normal"/>
    <w:link w:val="RodapChar"/>
    <w:uiPriority w:val="99"/>
    <w:unhideWhenUsed w:val="1"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0D4833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VmpVIFyqhg+RW2U1Y8opk8+SXQ==">CgMxLjA4AHIhMVA4SnFBc2phMTBHYTN0Q3RhUDQ0eVZ1OVctcXVDV0Fj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2026-05-04T18:06:00Z</dcterms:created>
  <dc:creator>Professor Doutor Silvio Aparecido Crepaldi</dc:creator>
</cp:coreProperties>
</file>